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CA0" w:rsidRPr="00E94AA5" w:rsidRDefault="00616CA0" w:rsidP="00616CA0">
      <w:pPr>
        <w:spacing w:after="0" w:line="240" w:lineRule="auto"/>
        <w:ind w:left="538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ЗАТВЕРДЖЕНО</w:t>
      </w:r>
    </w:p>
    <w:p w:rsidR="00616CA0" w:rsidRPr="00E94AA5" w:rsidRDefault="002D0C83" w:rsidP="00616CA0">
      <w:pPr>
        <w:spacing w:after="0" w:line="240" w:lineRule="auto"/>
        <w:ind w:left="538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Наказ Департаменту культури</w:t>
      </w:r>
      <w:r w:rsidR="00240770"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виконавчого органу Київської міської ради (Київської міської державної адміністрації)</w:t>
      </w:r>
    </w:p>
    <w:p w:rsidR="00635DF3" w:rsidRPr="00635DF3" w:rsidRDefault="00887BD3" w:rsidP="00635DF3">
      <w:pPr>
        <w:spacing w:after="0" w:line="240" w:lineRule="auto"/>
        <w:ind w:left="5387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  <w:t xml:space="preserve">21 грудня </w:t>
      </w:r>
      <w:r w:rsidR="003768C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  <w:t xml:space="preserve">2021 </w:t>
      </w:r>
      <w:r w:rsidR="0086337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  <w:t>року</w:t>
      </w:r>
      <w:r w:rsidR="00635DF3" w:rsidRPr="00635DF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  <w:t xml:space="preserve"> </w:t>
      </w:r>
      <w:r w:rsidR="00635DF3" w:rsidRPr="00635D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№ </w:t>
      </w:r>
      <w:r w:rsidR="008B089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  <w:t>655</w:t>
      </w:r>
      <w:r w:rsidR="0015056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  <w:t>-к</w:t>
      </w:r>
    </w:p>
    <w:p w:rsidR="00616CA0" w:rsidRPr="00E94AA5" w:rsidRDefault="00616CA0" w:rsidP="00616CA0">
      <w:pPr>
        <w:spacing w:after="0" w:line="240" w:lineRule="auto"/>
        <w:ind w:left="595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616CA0" w:rsidRPr="00E94AA5" w:rsidRDefault="00616CA0" w:rsidP="00616CA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616CA0" w:rsidRDefault="00616CA0" w:rsidP="00616CA0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УМОВИ</w:t>
      </w:r>
    </w:p>
    <w:p w:rsidR="00A42F78" w:rsidRPr="00E94AA5" w:rsidRDefault="00A42F78" w:rsidP="00616CA0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616CA0" w:rsidRPr="00E94AA5" w:rsidRDefault="00616CA0" w:rsidP="001F1E8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проведення конкур</w:t>
      </w:r>
      <w:r w:rsidR="00025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су на зайняття вакантної посади</w:t>
      </w:r>
      <w:r w:rsidR="002D0C83"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768CF">
        <w:rPr>
          <w:rFonts w:ascii="Times New Roman" w:eastAsia="Times New Roman" w:hAnsi="Times New Roman"/>
          <w:color w:val="000000"/>
          <w:spacing w:val="4"/>
          <w:sz w:val="28"/>
          <w:szCs w:val="28"/>
          <w:lang w:val="uk-UA" w:eastAsia="ru-RU"/>
        </w:rPr>
        <w:t>головного спеціаліста</w:t>
      </w:r>
      <w:r w:rsidR="0002715C" w:rsidRPr="00375932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 </w:t>
      </w:r>
      <w:r w:rsidR="003768CF">
        <w:rPr>
          <w:rFonts w:ascii="Times New Roman" w:eastAsia="Times New Roman" w:hAnsi="Times New Roman"/>
          <w:color w:val="000000"/>
          <w:spacing w:val="4"/>
          <w:sz w:val="28"/>
          <w:szCs w:val="28"/>
          <w:lang w:val="uk-UA" w:eastAsia="ru-RU"/>
        </w:rPr>
        <w:t>сектору</w:t>
      </w:r>
      <w:r w:rsidR="00F461B8">
        <w:rPr>
          <w:rFonts w:ascii="Times New Roman" w:eastAsia="Times New Roman" w:hAnsi="Times New Roman"/>
          <w:color w:val="000000"/>
          <w:spacing w:val="4"/>
          <w:sz w:val="28"/>
          <w:szCs w:val="28"/>
          <w:lang w:val="uk-UA" w:eastAsia="ru-RU"/>
        </w:rPr>
        <w:t xml:space="preserve"> правового забезпечення </w:t>
      </w:r>
      <w:r w:rsidR="001708B3"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Департаменту </w:t>
      </w: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культури виконавчого органу Київської міської ради (Київської міської державної адміністрації), </w:t>
      </w:r>
      <w:r w:rsidR="00494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категорія «В</w:t>
      </w: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616CA0" w:rsidRPr="00E94AA5" w:rsidRDefault="00616CA0" w:rsidP="00616C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tbl>
      <w:tblPr>
        <w:tblStyle w:val="a4"/>
        <w:tblW w:w="10632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8"/>
        <w:gridCol w:w="1264"/>
        <w:gridCol w:w="886"/>
        <w:gridCol w:w="7444"/>
      </w:tblGrid>
      <w:tr w:rsidR="00616CA0" w:rsidRPr="00E94AA5" w:rsidTr="00AF7036">
        <w:trPr>
          <w:trHeight w:val="171"/>
        </w:trPr>
        <w:tc>
          <w:tcPr>
            <w:tcW w:w="10632" w:type="dxa"/>
            <w:gridSpan w:val="4"/>
            <w:hideMark/>
          </w:tcPr>
          <w:p w:rsidR="00616CA0" w:rsidRPr="00E94AA5" w:rsidRDefault="006643CE" w:rsidP="00CE4E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                 </w:t>
            </w:r>
            <w:r w:rsidR="00616CA0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Загальні умови</w:t>
            </w:r>
          </w:p>
        </w:tc>
      </w:tr>
      <w:tr w:rsidR="00616CA0" w:rsidRPr="00E94AA5" w:rsidTr="00AF7036">
        <w:tc>
          <w:tcPr>
            <w:tcW w:w="2302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Посадові обов’язки </w:t>
            </w:r>
          </w:p>
        </w:tc>
        <w:tc>
          <w:tcPr>
            <w:tcW w:w="8330" w:type="dxa"/>
            <w:gridSpan w:val="2"/>
            <w:hideMark/>
          </w:tcPr>
          <w:p w:rsidR="00887BD3" w:rsidRDefault="002C1ED9" w:rsidP="00887BD3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1013"/>
              </w:tabs>
              <w:autoSpaceDE w:val="0"/>
              <w:autoSpaceDN w:val="0"/>
              <w:adjustRightInd w:val="0"/>
              <w:spacing w:before="278" w:after="0" w:line="274" w:lineRule="exact"/>
              <w:ind w:left="1"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887B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Здійснює перевірку та моніторинг:</w:t>
            </w:r>
          </w:p>
          <w:p w:rsidR="002C1ED9" w:rsidRPr="00887BD3" w:rsidRDefault="00887BD3" w:rsidP="00887BD3">
            <w:pPr>
              <w:pStyle w:val="a3"/>
              <w:widowControl w:val="0"/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 w:rsidR="002C1ED9" w:rsidRPr="00887B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правильного застосування законодавства в Департаменті   культури та у</w:t>
            </w:r>
            <w:r w:rsidR="00C22724" w:rsidRPr="00887B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2C1ED9" w:rsidRPr="00887B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підприємствах, організаціях та закладах, що належать до сфери управління;</w:t>
            </w:r>
          </w:p>
          <w:p w:rsidR="002C1ED9" w:rsidRDefault="002C1ED9" w:rsidP="00887BD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 w:rsidRPr="002C1E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претензійно-позо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вної роботи у </w:t>
            </w:r>
            <w:r w:rsidRPr="002C1E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підпр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иємствах, організаціях та </w:t>
            </w:r>
            <w:r w:rsidRPr="002C1E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закладах, підпорядкованих Департаменту культури.</w:t>
            </w:r>
          </w:p>
          <w:p w:rsidR="00316EEF" w:rsidRPr="00316EEF" w:rsidRDefault="00316EEF" w:rsidP="00887BD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6E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2. Координує правове забезпечення діяльності Департаменту культури виконавчого органу Київської міської ради (Київської міської державної адміністрації).</w:t>
            </w:r>
          </w:p>
          <w:p w:rsidR="00316EEF" w:rsidRPr="00316EEF" w:rsidRDefault="00316EEF" w:rsidP="00887BD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6E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3. Бере участь у забезпеченні правильного застосування законодавства в Департаменті культури, а також у підпорядкованих йому підприємствах, організаціях та закладах, у здійсненні представництва інтересів Департаменту культури в судах. </w:t>
            </w:r>
          </w:p>
          <w:p w:rsidR="00316EEF" w:rsidRPr="00316EEF" w:rsidRDefault="00316EEF" w:rsidP="00887BD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6E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4. Розробляє та бере участь у розробленні проектів нормативно-правових актів з питань, що належать до компетенції Департаменту культури.</w:t>
            </w:r>
          </w:p>
          <w:p w:rsidR="00316EEF" w:rsidRDefault="00316EEF" w:rsidP="00887BD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6E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5. Перевіряє відповідність проектів наказів та інших актів, що подаються на підпис керівнику Департаменту культури, до законодавства України та погоджує (візує) їх за наявності віз керівників заінтересованих структурних підрозділів.</w:t>
            </w:r>
          </w:p>
          <w:p w:rsidR="00C22724" w:rsidRDefault="00C22724" w:rsidP="00887BD3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6. </w:t>
            </w:r>
            <w:r w:rsidRPr="00C227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Організовує роботу, пов'язану з укладенням договорів (контрактів), бере участь у їх підготовці та здійсненні заходів, спрямованих на виконання договірних зобов'язань, забезпеченні захисту майнових прав і законних інтересів Департаменту культури.</w:t>
            </w:r>
          </w:p>
          <w:p w:rsidR="00C22724" w:rsidRDefault="00C22724" w:rsidP="00887BD3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7. </w:t>
            </w:r>
            <w:r w:rsidRPr="00C227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Аналізує матеріали, що надійшли від правоохоронних і контролюючих органів,, результати позовної роботи, а також </w:t>
            </w:r>
            <w:r w:rsidRPr="00C227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отримані за результатами перевірок, ревізій, інвентаризацій дані статистичної звітності, що характеризують стан дотримання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C227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законності Департаментом культури, готує правові висновки за фактами виявлених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C227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правопорушень та бере участь в організації роботи з відшкодування збитків. </w:t>
            </w:r>
          </w:p>
          <w:p w:rsidR="00C22724" w:rsidRPr="00316EEF" w:rsidRDefault="00C22724" w:rsidP="00887BD3">
            <w:pPr>
              <w:shd w:val="clear" w:color="auto" w:fill="FFFFFF"/>
              <w:tabs>
                <w:tab w:val="left" w:leader="underscore" w:pos="8808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8. </w:t>
            </w:r>
            <w:r w:rsidRPr="00C227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Перевіряє стан правової роботи в підпорядкованих Департаменту культури підприємствах, організаціях та закладах, та подає пропозиції на розгляд завідувачу сектору щодо її поліпшення, усунення недоліків у правовому забезпеченні їх діяльності.</w:t>
            </w:r>
          </w:p>
          <w:p w:rsidR="00C22724" w:rsidRDefault="00C22724" w:rsidP="00887BD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9. </w:t>
            </w:r>
            <w:r w:rsidRPr="00C227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Відслідковує набрання чинності законодавчих та нормативних актів, роз'яснює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C227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застосування законодавства, здійснює заходи, спрямовані на підвищення рівня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C227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правових знань працівників Департаменту культури, надає правові консультації 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а</w:t>
            </w:r>
            <w:r w:rsidRPr="00C227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питань, що належать до компетенції Департаменту культури, а також за дорученням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C227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завідувачу сектору розглядає запити на інформацію, звернення громадян, звернення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C227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та запити народних депутатів України.</w:t>
            </w:r>
          </w:p>
          <w:p w:rsidR="002D0C83" w:rsidRPr="00C22724" w:rsidRDefault="00C22724" w:rsidP="00887BD3">
            <w:pPr>
              <w:spacing w:after="0" w:line="240" w:lineRule="auto"/>
              <w:ind w:firstLine="567"/>
              <w:jc w:val="both"/>
              <w:rPr>
                <w:rFonts w:eastAsia="Times New Roman"/>
                <w:color w:val="000000"/>
                <w:spacing w:val="-2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10</w:t>
            </w:r>
            <w:r w:rsidR="00316EEF" w:rsidRPr="00316E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r w:rsidRPr="00C227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Забезпечує у встановленому порядку здійснення </w:t>
            </w:r>
            <w:proofErr w:type="spellStart"/>
            <w:r w:rsidRPr="00C227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самопредставництва</w:t>
            </w:r>
            <w:proofErr w:type="spellEnd"/>
            <w:r w:rsidRPr="00C227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інтересів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C227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Департаменту культури в судах та інших органах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  <w:u w:val="single"/>
                <w:lang w:val="uk-UA"/>
              </w:rPr>
              <w:t>.</w:t>
            </w:r>
          </w:p>
        </w:tc>
        <w:bookmarkStart w:id="0" w:name="_GoBack"/>
        <w:bookmarkEnd w:id="0"/>
      </w:tr>
      <w:tr w:rsidR="00616CA0" w:rsidRPr="00E94AA5" w:rsidTr="00AF7036">
        <w:tc>
          <w:tcPr>
            <w:tcW w:w="2302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Умови оплати праці</w:t>
            </w: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8330" w:type="dxa"/>
            <w:gridSpan w:val="2"/>
            <w:hideMark/>
          </w:tcPr>
          <w:p w:rsidR="0091320A" w:rsidRDefault="00AF42E7" w:rsidP="006643CE">
            <w:pPr>
              <w:spacing w:after="0" w:line="240" w:lineRule="auto"/>
              <w:ind w:left="2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</w:t>
            </w:r>
            <w:r w:rsidR="00874CF0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осадовий оклад складає</w:t>
            </w:r>
            <w:r w:rsidR="00616CA0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0271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5 500</w:t>
            </w:r>
            <w:r w:rsidR="000271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3923AA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гривень</w:t>
            </w:r>
            <w:r w:rsidR="00FC4C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  <w:p w:rsidR="00874CF0" w:rsidRPr="00AF42E7" w:rsidRDefault="0091320A" w:rsidP="006643CE">
            <w:pPr>
              <w:spacing w:after="0" w:line="240" w:lineRule="auto"/>
              <w:ind w:left="2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надбавки, доплати, премії та компенсації відповідно до статті 52 Закон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у України «Про державну службу»;</w:t>
            </w:r>
            <w:r w:rsidR="003923AA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надбавки до посадового окладу за ранг державного службовця відповідно до постанови</w:t>
            </w:r>
            <w:r w:rsidR="00874CF0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Кабінету Міністрів України від 18 січня 2017 року № 15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(зі змінами</w:t>
            </w:r>
            <w:r w:rsidR="00874CF0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);</w:t>
            </w:r>
          </w:p>
          <w:p w:rsidR="00616CA0" w:rsidRPr="00AF42E7" w:rsidRDefault="00616CA0" w:rsidP="006643CE">
            <w:pPr>
              <w:spacing w:after="0" w:line="240" w:lineRule="auto"/>
              <w:ind w:left="2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16CA0" w:rsidRPr="00E94AA5" w:rsidTr="00AF7036">
        <w:tc>
          <w:tcPr>
            <w:tcW w:w="2302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Інформація про строковість чи безстроковість призначення на посаду </w:t>
            </w:r>
          </w:p>
        </w:tc>
        <w:tc>
          <w:tcPr>
            <w:tcW w:w="8330" w:type="dxa"/>
            <w:gridSpan w:val="2"/>
          </w:tcPr>
          <w:p w:rsidR="00616CA0" w:rsidRPr="00E94AA5" w:rsidRDefault="00AF42E7" w:rsidP="001D3F9C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б</w:t>
            </w:r>
            <w:r w:rsidR="001D3F9C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е</w:t>
            </w:r>
            <w:r w:rsidR="00616CA0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зстроково</w:t>
            </w:r>
          </w:p>
          <w:p w:rsidR="003923AA" w:rsidRPr="00E94AA5" w:rsidRDefault="00AF42E7" w:rsidP="001D3F9C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616CA0" w:rsidRPr="00E94AA5" w:rsidTr="00AF7036">
        <w:tc>
          <w:tcPr>
            <w:tcW w:w="2302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Перелік інформації, необхідної для участі в конкурсі, та строк ї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ї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подання</w:t>
            </w: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8330" w:type="dxa"/>
            <w:gridSpan w:val="2"/>
            <w:hideMark/>
          </w:tcPr>
          <w:p w:rsidR="00616CA0" w:rsidRPr="00E94AA5" w:rsidRDefault="00616CA0" w:rsidP="00240770">
            <w:pPr>
              <w:tabs>
                <w:tab w:val="left" w:pos="-108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bookmarkStart w:id="1" w:name="n71"/>
            <w:bookmarkEnd w:id="1"/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1) заява про участь у конкурсі із зазначенням основних мотивів щодо зайняття посади за формою згідно з додатком 2 постанови Кабінету Міністрів України </w:t>
            </w:r>
            <w:r w:rsidR="005C49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«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Про затвердження Порядку проведення конкурсу на зайняття посад державної служби</w:t>
            </w:r>
            <w:r w:rsidR="005C49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»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від </w:t>
            </w:r>
            <w:r w:rsidR="00880B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         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25 березня</w:t>
            </w:r>
            <w:r w:rsidR="001D3F9C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2016 року № 246 </w:t>
            </w:r>
            <w:r w:rsidR="001D3F9C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(в редакції постанови Кабінету Міністрів України від 18 серпня 2017 року № 648)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(далі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Порядок);</w:t>
            </w:r>
          </w:p>
          <w:p w:rsidR="00616CA0" w:rsidRPr="00E94AA5" w:rsidRDefault="00616CA0" w:rsidP="00240770">
            <w:pPr>
              <w:tabs>
                <w:tab w:val="left" w:pos="-108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2) резюме за формою згідно з додатком 21 Порядку, в якому обов’язково зазначається така інформація:</w:t>
            </w:r>
          </w:p>
          <w:p w:rsidR="00616CA0" w:rsidRPr="00E94AA5" w:rsidRDefault="001D3F9C" w:rsidP="00240770">
            <w:pPr>
              <w:tabs>
                <w:tab w:val="left" w:pos="-108"/>
                <w:tab w:val="left" w:pos="0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 w:rsidR="00616CA0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прізвище, ім’я, по батькові кандидата;</w:t>
            </w:r>
          </w:p>
          <w:p w:rsidR="00616CA0" w:rsidRPr="00E94AA5" w:rsidRDefault="004919C5" w:rsidP="00240770">
            <w:pPr>
              <w:tabs>
                <w:tab w:val="left" w:pos="0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 w:rsidR="00616CA0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реквізити д</w:t>
            </w:r>
            <w:r w:rsidR="001D3F9C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окумента, що посвідчує особу та 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п</w:t>
            </w:r>
            <w:r w:rsidR="00616CA0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ідтверджує громадянство України;</w:t>
            </w:r>
          </w:p>
          <w:p w:rsidR="003923AA" w:rsidRPr="00E94AA5" w:rsidRDefault="00FD1B17" w:rsidP="00240770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- 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підтвердження наявності відповідного ступеня вищої освіти;</w:t>
            </w:r>
          </w:p>
          <w:p w:rsidR="00616CA0" w:rsidRPr="00E94AA5" w:rsidRDefault="001D3F9C" w:rsidP="00240770">
            <w:pPr>
              <w:tabs>
                <w:tab w:val="left" w:pos="0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 w:rsidR="00616CA0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підтвердження рівня вільного володіння державною мовою;</w:t>
            </w:r>
          </w:p>
          <w:p w:rsidR="003923AA" w:rsidRPr="00E94AA5" w:rsidRDefault="003923AA" w:rsidP="00240770">
            <w:pPr>
              <w:pStyle w:val="rvps2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firstLine="29"/>
              <w:jc w:val="both"/>
              <w:textAlignment w:val="baseline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94AA5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- </w:t>
            </w:r>
            <w:r w:rsidR="00616CA0" w:rsidRPr="00E94AA5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відомості про стаж роботи, стаж державної служб (за наявності), досвід роботи на відповідних посадах</w:t>
            </w:r>
            <w:r w:rsidRPr="00E94AA5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у відповідній сфері, визначеній в умовах конкурсу, та на керівних посадах (за наявності відповідних вимог);</w:t>
            </w:r>
          </w:p>
          <w:p w:rsidR="001C66BD" w:rsidRDefault="00616CA0" w:rsidP="001C66BD">
            <w:pPr>
              <w:tabs>
                <w:tab w:val="left" w:pos="-108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3) заява, в якій 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особа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повідомляє про те, що до неї не застосовуються заборони, визначені частиною третьою або чет</w:t>
            </w:r>
            <w:r w:rsidR="00CA6C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вертою статті 1 Закону України «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Про очищення влади</w:t>
            </w:r>
            <w:r w:rsidR="00CA6C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»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, та надає згоду на проходження перевірки та оприлюднення відомостей стосовно неї відповідно до зазначеного Закону; </w:t>
            </w:r>
          </w:p>
          <w:p w:rsidR="006C4FE5" w:rsidRDefault="006C4FE5" w:rsidP="00240770">
            <w:pPr>
              <w:tabs>
                <w:tab w:val="left" w:pos="-108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Подача додатків до заяви не є обов’язковою.</w:t>
            </w:r>
          </w:p>
          <w:p w:rsidR="001C66BD" w:rsidRPr="00E94AA5" w:rsidRDefault="001C66BD" w:rsidP="00240770">
            <w:pPr>
              <w:tabs>
                <w:tab w:val="left" w:pos="-108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4) </w:t>
            </w:r>
            <w:r w:rsidRPr="001C66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394464" w:rsidRDefault="00616CA0" w:rsidP="00394464">
            <w:pPr>
              <w:tabs>
                <w:tab w:val="left" w:pos="-108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ання, досвіду роботи, професійних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компетентност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ей</w:t>
            </w:r>
            <w:proofErr w:type="spellEnd"/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, репутації</w:t>
            </w:r>
            <w:r w:rsidR="003944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(характеристики, рекомендації, наукові публікації тощо)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616CA0" w:rsidRPr="00E94AA5" w:rsidRDefault="006C4FE5" w:rsidP="003768CF">
            <w:pPr>
              <w:tabs>
                <w:tab w:val="left" w:pos="-108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Інформація приймається</w:t>
            </w:r>
            <w:r w:rsidR="00EB5934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до </w:t>
            </w:r>
            <w:r w:rsidR="00B21B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17</w:t>
            </w:r>
            <w:r w:rsidR="003944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год.</w:t>
            </w:r>
            <w:r w:rsidR="00B21B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00</w:t>
            </w:r>
            <w:r w:rsidR="006661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хв.</w:t>
            </w:r>
            <w:r w:rsid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3768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28</w:t>
            </w:r>
            <w:r w:rsidR="00A107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3768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грудня</w:t>
            </w:r>
            <w:r w:rsidR="00E95A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EB5934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2021 року</w:t>
            </w:r>
            <w:r w:rsidR="00DE06EE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виключно через Єдиний портал вакансій державної служби за посиланням</w:t>
            </w:r>
            <w:r w:rsidR="006661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: </w:t>
            </w:r>
            <w:hyperlink r:id="rId6" w:history="1">
              <w:r w:rsidR="00666103" w:rsidRPr="00210CE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uk-UA"/>
                </w:rPr>
                <w:t>https://career.gov.ua/</w:t>
              </w:r>
            </w:hyperlink>
            <w:r w:rsidR="0066610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val="uk-UA"/>
              </w:rPr>
              <w:t xml:space="preserve"> </w:t>
            </w:r>
          </w:p>
        </w:tc>
      </w:tr>
      <w:tr w:rsidR="00616CA0" w:rsidRPr="00E94AA5" w:rsidTr="00AF7036">
        <w:tc>
          <w:tcPr>
            <w:tcW w:w="2302" w:type="dxa"/>
            <w:gridSpan w:val="2"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8330" w:type="dxa"/>
            <w:gridSpan w:val="2"/>
          </w:tcPr>
          <w:p w:rsidR="00616CA0" w:rsidRPr="00E94AA5" w:rsidRDefault="00616CA0" w:rsidP="00240770">
            <w:pPr>
              <w:tabs>
                <w:tab w:val="left" w:pos="-49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Заява щодо забезпечення розумним </w:t>
            </w:r>
            <w:r w:rsidR="00EB5934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пристосуванням за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формою згідно з додатком 3 до </w:t>
            </w:r>
            <w:r w:rsidR="00EB5934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Порядку</w:t>
            </w:r>
          </w:p>
        </w:tc>
      </w:tr>
      <w:tr w:rsidR="00616CA0" w:rsidRPr="00E94AA5" w:rsidTr="00AF7036">
        <w:tc>
          <w:tcPr>
            <w:tcW w:w="2302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Дата і час початку п</w:t>
            </w:r>
            <w:r w:rsidR="00BF47F4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роведення тестування кандидатів</w:t>
            </w: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Місце або спосіб проведення тестування.</w:t>
            </w: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Місце або спосіб проведення співбесіди (із зазначенням електронної платформи для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комунікації дистанційно)</w:t>
            </w:r>
          </w:p>
          <w:p w:rsidR="00C057A8" w:rsidRPr="00E94AA5" w:rsidRDefault="00C057A8" w:rsidP="00880BE6">
            <w:pPr>
              <w:spacing w:after="0" w:line="240" w:lineRule="auto"/>
              <w:ind w:right="-5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Місце або </w:t>
            </w:r>
            <w:r w:rsidR="00880B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спосіб проведення співбесіди </w:t>
            </w:r>
          </w:p>
          <w:p w:rsidR="00616CA0" w:rsidRPr="00E94AA5" w:rsidRDefault="00DE06EE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8330" w:type="dxa"/>
            <w:gridSpan w:val="2"/>
            <w:hideMark/>
          </w:tcPr>
          <w:p w:rsidR="008244A3" w:rsidRPr="00E94AA5" w:rsidRDefault="00650EAB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30</w:t>
            </w:r>
            <w:r w:rsidR="003768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грудня</w:t>
            </w:r>
            <w:r w:rsidR="008279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2021 року о 13</w:t>
            </w:r>
            <w:r w:rsidR="006661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6C4FE5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год. 00 хв.</w:t>
            </w:r>
          </w:p>
          <w:p w:rsidR="00BF47F4" w:rsidRPr="00E94AA5" w:rsidRDefault="00BF47F4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BF47F4" w:rsidRPr="00E94AA5" w:rsidRDefault="00BF47F4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7635CB" w:rsidRDefault="007635CB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7635CB" w:rsidRDefault="007635CB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8244A3" w:rsidRPr="00E94AA5" w:rsidRDefault="008244A3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м. Київ, бульвар Т. Шевченка, 3 (проведення за фізичної присутності кандидатів)</w:t>
            </w:r>
          </w:p>
          <w:p w:rsidR="00DE06EE" w:rsidRPr="00E94AA5" w:rsidRDefault="00DE06EE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7635CB" w:rsidRDefault="007635CB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8244A3" w:rsidRPr="00E94AA5" w:rsidRDefault="008244A3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м. Київ, бульвар Т. Шевченка, 3 (проведення за фізичної присутності кандидатів)</w:t>
            </w:r>
          </w:p>
          <w:p w:rsidR="00C057A8" w:rsidRPr="00E94AA5" w:rsidRDefault="00C057A8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C057A8" w:rsidRPr="00E94AA5" w:rsidRDefault="00C057A8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C057A8" w:rsidRPr="00E94AA5" w:rsidRDefault="00C057A8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C057A8" w:rsidRPr="00E94AA5" w:rsidRDefault="00C057A8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DE06EE" w:rsidRDefault="00DE06EE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394464" w:rsidRPr="00E94AA5" w:rsidRDefault="00394464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7635CB" w:rsidRDefault="007635CB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8244A3" w:rsidRPr="00E94AA5" w:rsidRDefault="008244A3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м. Київ, бульвар Т. Шевченка, 3 (проведення за фізичної присутності кандидатів)</w:t>
            </w:r>
          </w:p>
          <w:p w:rsidR="00880BE6" w:rsidRDefault="00880BE6" w:rsidP="00EB5934">
            <w:pPr>
              <w:tabs>
                <w:tab w:val="left" w:pos="-49"/>
              </w:tabs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880BE6" w:rsidRDefault="00880BE6" w:rsidP="00880B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16CA0" w:rsidRPr="00880BE6" w:rsidRDefault="00616CA0" w:rsidP="007635CB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16CA0" w:rsidRPr="00E94AA5" w:rsidTr="00AF7036">
        <w:tc>
          <w:tcPr>
            <w:tcW w:w="2302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8330" w:type="dxa"/>
            <w:gridSpan w:val="2"/>
            <w:hideMark/>
          </w:tcPr>
          <w:p w:rsidR="00616CA0" w:rsidRPr="00E94AA5" w:rsidRDefault="00EB5934" w:rsidP="00EB5934">
            <w:pPr>
              <w:tabs>
                <w:tab w:val="left" w:pos="-49"/>
              </w:tabs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</w:t>
            </w:r>
            <w:r w:rsidR="008866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Маршалковська Ольга Русланівна</w:t>
            </w:r>
          </w:p>
          <w:p w:rsidR="00DE06EE" w:rsidRPr="00E94AA5" w:rsidRDefault="00EB5934" w:rsidP="00EB5934">
            <w:pPr>
              <w:tabs>
                <w:tab w:val="left" w:pos="-49"/>
              </w:tabs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</w:t>
            </w:r>
            <w:proofErr w:type="spellStart"/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тел</w:t>
            </w:r>
            <w:proofErr w:type="spellEnd"/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r w:rsidR="00C77B1F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+38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(044) 279-72-51, </w:t>
            </w:r>
          </w:p>
          <w:p w:rsidR="00EB5934" w:rsidRPr="00394464" w:rsidRDefault="00C77B1F" w:rsidP="00ED511F">
            <w:pPr>
              <w:tabs>
                <w:tab w:val="left" w:pos="-49"/>
              </w:tabs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</w:t>
            </w:r>
            <w:r w:rsidR="00DE06EE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адреса електронної пошти: </w:t>
            </w:r>
            <w:r w:rsidR="003944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cultureKMDA@gmail.com</w:t>
            </w:r>
          </w:p>
        </w:tc>
      </w:tr>
      <w:tr w:rsidR="00616CA0" w:rsidRPr="00E94AA5" w:rsidTr="00AF7036">
        <w:tc>
          <w:tcPr>
            <w:tcW w:w="10632" w:type="dxa"/>
            <w:gridSpan w:val="4"/>
          </w:tcPr>
          <w:p w:rsidR="00B21B56" w:rsidRDefault="00B21B56" w:rsidP="00042F19">
            <w:pPr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616CA0" w:rsidRPr="00E94AA5" w:rsidRDefault="00616CA0" w:rsidP="00042F19">
            <w:pPr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Кваліфікаційні вимоги</w:t>
            </w:r>
          </w:p>
          <w:p w:rsidR="00616CA0" w:rsidRPr="00E94AA5" w:rsidRDefault="00616CA0" w:rsidP="00042F19">
            <w:pPr>
              <w:tabs>
                <w:tab w:val="left" w:pos="3990"/>
              </w:tabs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ab/>
            </w:r>
          </w:p>
        </w:tc>
      </w:tr>
      <w:tr w:rsidR="00385F87" w:rsidRPr="00E94AA5" w:rsidTr="00AF7036">
        <w:tc>
          <w:tcPr>
            <w:tcW w:w="1038" w:type="dxa"/>
            <w:hideMark/>
          </w:tcPr>
          <w:p w:rsidR="00385F87" w:rsidRPr="00E94AA5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1.</w:t>
            </w:r>
          </w:p>
        </w:tc>
        <w:tc>
          <w:tcPr>
            <w:tcW w:w="2150" w:type="dxa"/>
            <w:gridSpan w:val="2"/>
            <w:hideMark/>
          </w:tcPr>
          <w:p w:rsidR="00385F87" w:rsidRPr="00E94AA5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Освіта</w:t>
            </w:r>
          </w:p>
        </w:tc>
        <w:tc>
          <w:tcPr>
            <w:tcW w:w="7444" w:type="dxa"/>
            <w:hideMark/>
          </w:tcPr>
          <w:p w:rsidR="00385F87" w:rsidRPr="00311A17" w:rsidRDefault="00385F87" w:rsidP="00231A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UA"/>
              </w:rPr>
              <w:t xml:space="preserve">Вища освіта ступеня молодшого бакалавра або бакалавра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</w:tc>
      </w:tr>
      <w:tr w:rsidR="00385F87" w:rsidRPr="00E94AA5" w:rsidTr="00AF7036">
        <w:tc>
          <w:tcPr>
            <w:tcW w:w="1038" w:type="dxa"/>
            <w:hideMark/>
          </w:tcPr>
          <w:p w:rsidR="00385F87" w:rsidRPr="00E94AA5" w:rsidRDefault="001F1E8D" w:rsidP="001F1E8D">
            <w:pPr>
              <w:ind w:left="37" w:right="-2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</w:t>
            </w:r>
            <w:r w:rsidR="00385F87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2.</w:t>
            </w:r>
          </w:p>
        </w:tc>
        <w:tc>
          <w:tcPr>
            <w:tcW w:w="2150" w:type="dxa"/>
            <w:gridSpan w:val="2"/>
            <w:hideMark/>
          </w:tcPr>
          <w:p w:rsidR="00385F87" w:rsidRPr="00E94AA5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Досвід роботи</w:t>
            </w:r>
          </w:p>
        </w:tc>
        <w:tc>
          <w:tcPr>
            <w:tcW w:w="7444" w:type="dxa"/>
            <w:hideMark/>
          </w:tcPr>
          <w:p w:rsidR="00385F87" w:rsidRPr="00311A17" w:rsidRDefault="00385F87" w:rsidP="00385F8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UA"/>
              </w:rPr>
              <w:t>Не потребу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є</w:t>
            </w:r>
          </w:p>
        </w:tc>
      </w:tr>
      <w:tr w:rsidR="00616CA0" w:rsidRPr="00E94AA5" w:rsidTr="00AF7036">
        <w:tc>
          <w:tcPr>
            <w:tcW w:w="1038" w:type="dxa"/>
            <w:hideMark/>
          </w:tcPr>
          <w:p w:rsidR="00616CA0" w:rsidRPr="00E94AA5" w:rsidRDefault="00616CA0" w:rsidP="00304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3.</w:t>
            </w:r>
          </w:p>
          <w:p w:rsidR="00616CA0" w:rsidRPr="00E94AA5" w:rsidRDefault="00616CA0" w:rsidP="00304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150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Володіння державною мовою</w:t>
            </w:r>
          </w:p>
        </w:tc>
        <w:tc>
          <w:tcPr>
            <w:tcW w:w="7444" w:type="dxa"/>
            <w:hideMark/>
          </w:tcPr>
          <w:p w:rsidR="00616CA0" w:rsidRPr="00E94AA5" w:rsidRDefault="00616CA0" w:rsidP="00F42AF9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Вільне володіння державною мовою</w:t>
            </w:r>
          </w:p>
        </w:tc>
      </w:tr>
      <w:tr w:rsidR="00616CA0" w:rsidRPr="00E94AA5" w:rsidTr="00AF7036">
        <w:tc>
          <w:tcPr>
            <w:tcW w:w="10632" w:type="dxa"/>
            <w:gridSpan w:val="4"/>
          </w:tcPr>
          <w:p w:rsidR="00616CA0" w:rsidRPr="00E94AA5" w:rsidRDefault="00616CA0" w:rsidP="00F43DA9">
            <w:pPr>
              <w:tabs>
                <w:tab w:val="left" w:pos="3120"/>
              </w:tabs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Вимоги до компетентності</w:t>
            </w:r>
          </w:p>
          <w:p w:rsidR="00616CA0" w:rsidRPr="00E94AA5" w:rsidRDefault="00616CA0" w:rsidP="00F43DA9">
            <w:pPr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16CA0" w:rsidRPr="00E94AA5" w:rsidTr="00AF7036">
        <w:tc>
          <w:tcPr>
            <w:tcW w:w="10632" w:type="dxa"/>
            <w:gridSpan w:val="4"/>
          </w:tcPr>
          <w:p w:rsidR="00616CA0" w:rsidRPr="00E94AA5" w:rsidRDefault="00616CA0" w:rsidP="00F43DA9">
            <w:pPr>
              <w:tabs>
                <w:tab w:val="left" w:pos="0"/>
              </w:tabs>
              <w:spacing w:after="0" w:line="240" w:lineRule="auto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   </w:t>
            </w:r>
            <w:r w:rsidR="00DE06EE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Вимога        </w:t>
            </w:r>
            <w:r w:rsidR="00B90F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                 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Компоненти вимоги</w:t>
            </w:r>
          </w:p>
          <w:p w:rsidR="00616CA0" w:rsidRPr="00E94AA5" w:rsidRDefault="00616CA0" w:rsidP="00F43DA9">
            <w:pPr>
              <w:tabs>
                <w:tab w:val="left" w:pos="4440"/>
              </w:tabs>
              <w:spacing w:after="0" w:line="240" w:lineRule="auto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16CA0" w:rsidRPr="00E94AA5" w:rsidTr="00AF7036">
        <w:trPr>
          <w:trHeight w:val="650"/>
        </w:trPr>
        <w:tc>
          <w:tcPr>
            <w:tcW w:w="1038" w:type="dxa"/>
          </w:tcPr>
          <w:p w:rsidR="00616CA0" w:rsidRPr="00E94AA5" w:rsidRDefault="00616CA0" w:rsidP="00304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1.</w:t>
            </w:r>
          </w:p>
        </w:tc>
        <w:tc>
          <w:tcPr>
            <w:tcW w:w="2150" w:type="dxa"/>
            <w:gridSpan w:val="2"/>
          </w:tcPr>
          <w:p w:rsidR="00616CA0" w:rsidRPr="00E94AA5" w:rsidRDefault="00385F87" w:rsidP="00042F19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Досягнення результатів</w:t>
            </w:r>
          </w:p>
        </w:tc>
        <w:tc>
          <w:tcPr>
            <w:tcW w:w="7444" w:type="dxa"/>
          </w:tcPr>
          <w:p w:rsidR="00385F87" w:rsidRPr="00311A17" w:rsidRDefault="00385F87" w:rsidP="0038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311A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здатність до чіткого бачення результату діяльності;</w:t>
            </w:r>
          </w:p>
          <w:p w:rsidR="00385F87" w:rsidRDefault="00385F87" w:rsidP="00385F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- вміння фокусувати зусилля для досягнення результату діяльності;</w:t>
            </w:r>
          </w:p>
          <w:p w:rsidR="00616CA0" w:rsidRPr="006E188B" w:rsidRDefault="00385F87" w:rsidP="0038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- вміння запобігати та ефективно долати перешкоди</w:t>
            </w:r>
          </w:p>
        </w:tc>
      </w:tr>
      <w:tr w:rsidR="00385F87" w:rsidRPr="00E94AA5" w:rsidTr="00AF7036">
        <w:trPr>
          <w:trHeight w:val="1022"/>
        </w:trPr>
        <w:tc>
          <w:tcPr>
            <w:tcW w:w="1038" w:type="dxa"/>
          </w:tcPr>
          <w:p w:rsidR="00385F87" w:rsidRPr="00E94AA5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2.</w:t>
            </w:r>
          </w:p>
        </w:tc>
        <w:tc>
          <w:tcPr>
            <w:tcW w:w="2150" w:type="dxa"/>
            <w:gridSpan w:val="2"/>
          </w:tcPr>
          <w:p w:rsidR="00385F87" w:rsidRPr="00E94AA5" w:rsidRDefault="00385F87" w:rsidP="001F1E8D">
            <w:pPr>
              <w:spacing w:after="0" w:line="240" w:lineRule="auto"/>
              <w:ind w:left="-153" w:firstLine="4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Відповідальність</w:t>
            </w:r>
          </w:p>
        </w:tc>
        <w:tc>
          <w:tcPr>
            <w:tcW w:w="7444" w:type="dxa"/>
          </w:tcPr>
          <w:p w:rsidR="00385F87" w:rsidRDefault="00385F87" w:rsidP="00385F87">
            <w:pPr>
              <w:widowControl w:val="0"/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- усвідомлення важливості якісного виконання своїх посадових обов’язків з дотримання строків та встановлення процедур;</w:t>
            </w:r>
          </w:p>
          <w:p w:rsidR="00385F87" w:rsidRPr="006E188B" w:rsidRDefault="00385F87" w:rsidP="00385F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</w:t>
            </w:r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85F87" w:rsidRPr="00E94AA5" w:rsidRDefault="00385F87" w:rsidP="0038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здатність брати на себе зобов’язання, чітко їх дотримуватись і виконувати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</w:tc>
      </w:tr>
      <w:tr w:rsidR="00385F87" w:rsidRPr="00E94AA5" w:rsidTr="00AF7036">
        <w:tc>
          <w:tcPr>
            <w:tcW w:w="1038" w:type="dxa"/>
          </w:tcPr>
          <w:p w:rsidR="00385F87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3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385F87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Default="00385F87" w:rsidP="00385F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Pr="00E94AA5" w:rsidRDefault="00385F87" w:rsidP="00385F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150" w:type="dxa"/>
            <w:gridSpan w:val="2"/>
          </w:tcPr>
          <w:p w:rsidR="00385F87" w:rsidRPr="006E188B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Цифрова грамотність</w:t>
            </w:r>
            <w:r w:rsidRPr="006E18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385F87" w:rsidRPr="006E188B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Pr="006E188B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Pr="006E188B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Pr="006E188B" w:rsidRDefault="00385F87" w:rsidP="00385F87">
            <w:pPr>
              <w:spacing w:after="0" w:line="240" w:lineRule="auto"/>
              <w:ind w:left="51" w:hanging="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Pr="006E188B" w:rsidRDefault="00385F87" w:rsidP="00385F87">
            <w:pPr>
              <w:spacing w:after="0" w:line="240" w:lineRule="auto"/>
              <w:ind w:left="51" w:hanging="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tbl>
            <w:tblPr>
              <w:tblW w:w="4675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1768"/>
            </w:tblGrid>
            <w:tr w:rsidR="00385F87" w:rsidRPr="006E188B" w:rsidTr="006E188B">
              <w:trPr>
                <w:trHeight w:val="30"/>
              </w:trPr>
              <w:tc>
                <w:tcPr>
                  <w:tcW w:w="11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385F87" w:rsidRPr="002F31C2" w:rsidRDefault="00385F87" w:rsidP="00385F87">
                  <w:pPr>
                    <w:spacing w:after="0" w:line="240" w:lineRule="auto"/>
                    <w:ind w:left="51" w:hanging="5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   </w:t>
                  </w:r>
                </w:p>
              </w:tc>
              <w:tc>
                <w:tcPr>
                  <w:tcW w:w="48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385F87" w:rsidRPr="002F31C2" w:rsidRDefault="00385F87" w:rsidP="00385F87">
                  <w:pPr>
                    <w:spacing w:after="0" w:line="240" w:lineRule="auto"/>
                    <w:ind w:left="51" w:hanging="5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85F87" w:rsidRPr="006E188B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7444" w:type="dxa"/>
          </w:tcPr>
          <w:p w:rsidR="00385F87" w:rsidRDefault="00385F87" w:rsidP="00385F87">
            <w:pPr>
              <w:pStyle w:val="1"/>
              <w:tabs>
                <w:tab w:val="left" w:pos="1350"/>
              </w:tabs>
              <w:spacing w:after="0" w:line="240" w:lineRule="auto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4C1E6A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</w:t>
            </w: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 xml:space="preserve">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385F87" w:rsidRDefault="001F1E8D" w:rsidP="00385F87">
            <w:pPr>
              <w:pStyle w:val="1"/>
              <w:tabs>
                <w:tab w:val="left" w:pos="1350"/>
              </w:tabs>
              <w:spacing w:after="0" w:line="240" w:lineRule="auto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 xml:space="preserve">- </w:t>
            </w:r>
            <w:r w:rsidR="00385F87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вміння використовувати сервіси інтернету для ефективного пошуку потрібної інформації;</w:t>
            </w:r>
          </w:p>
          <w:p w:rsidR="00385F87" w:rsidRDefault="00385F87" w:rsidP="00385F87">
            <w:pPr>
              <w:pStyle w:val="1"/>
              <w:tabs>
                <w:tab w:val="left" w:pos="1350"/>
              </w:tabs>
              <w:spacing w:after="0" w:line="240" w:lineRule="auto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5547DB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</w:t>
            </w: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 xml:space="preserve"> вміння перевіряти надійність джерел і достовірність даних та інформації у цифровому середовищі;</w:t>
            </w:r>
          </w:p>
          <w:p w:rsidR="00385F87" w:rsidRDefault="00385F87" w:rsidP="00385F87">
            <w:pPr>
              <w:pStyle w:val="1"/>
              <w:tabs>
                <w:tab w:val="left" w:pos="1350"/>
              </w:tabs>
              <w:spacing w:after="0" w:line="240" w:lineRule="auto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 здатність працювати з документами в різних цифрових форматах;</w:t>
            </w:r>
          </w:p>
          <w:p w:rsidR="00385F87" w:rsidRDefault="00385F87" w:rsidP="00385F87">
            <w:pPr>
              <w:pStyle w:val="1"/>
              <w:tabs>
                <w:tab w:val="left" w:pos="1350"/>
              </w:tabs>
              <w:spacing w:after="0" w:line="240" w:lineRule="auto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</w:t>
            </w:r>
          </w:p>
          <w:p w:rsidR="00385F87" w:rsidRPr="00E94AA5" w:rsidRDefault="00385F87" w:rsidP="00385F87">
            <w:pPr>
              <w:pStyle w:val="1"/>
              <w:tabs>
                <w:tab w:val="left" w:pos="1350"/>
              </w:tabs>
              <w:spacing w:after="0" w:line="240" w:lineRule="auto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(КЕП).</w:t>
            </w:r>
          </w:p>
        </w:tc>
      </w:tr>
      <w:tr w:rsidR="00385F87" w:rsidRPr="00E94AA5" w:rsidTr="00AF7036">
        <w:tc>
          <w:tcPr>
            <w:tcW w:w="10632" w:type="dxa"/>
            <w:gridSpan w:val="4"/>
          </w:tcPr>
          <w:p w:rsidR="00887BD3" w:rsidRDefault="00887BD3" w:rsidP="00385F87">
            <w:pPr>
              <w:tabs>
                <w:tab w:val="left" w:pos="432"/>
                <w:tab w:val="left" w:pos="3615"/>
                <w:tab w:val="center" w:pos="4954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Pr="00E94AA5" w:rsidRDefault="00385F87" w:rsidP="00385F87">
            <w:pPr>
              <w:tabs>
                <w:tab w:val="left" w:pos="432"/>
                <w:tab w:val="left" w:pos="3615"/>
                <w:tab w:val="center" w:pos="4954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Професійні знання</w:t>
            </w:r>
          </w:p>
          <w:p w:rsidR="00385F87" w:rsidRPr="00E94AA5" w:rsidRDefault="00385F87" w:rsidP="00385F87">
            <w:pPr>
              <w:tabs>
                <w:tab w:val="left" w:pos="432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385F87" w:rsidRPr="00E94AA5" w:rsidTr="00AF7036">
        <w:tc>
          <w:tcPr>
            <w:tcW w:w="1038" w:type="dxa"/>
          </w:tcPr>
          <w:p w:rsidR="00385F87" w:rsidRPr="00E94AA5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150" w:type="dxa"/>
            <w:gridSpan w:val="2"/>
            <w:hideMark/>
          </w:tcPr>
          <w:p w:rsidR="00385F87" w:rsidRPr="00E94AA5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Вимога</w:t>
            </w:r>
          </w:p>
        </w:tc>
        <w:tc>
          <w:tcPr>
            <w:tcW w:w="7444" w:type="dxa"/>
          </w:tcPr>
          <w:p w:rsidR="00385F87" w:rsidRPr="00E94AA5" w:rsidRDefault="00385F87" w:rsidP="00385F87">
            <w:pPr>
              <w:tabs>
                <w:tab w:val="left" w:pos="432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Компоненти вимоги</w:t>
            </w:r>
          </w:p>
          <w:p w:rsidR="00385F87" w:rsidRPr="00E94AA5" w:rsidRDefault="00385F87" w:rsidP="00385F87">
            <w:pPr>
              <w:tabs>
                <w:tab w:val="left" w:pos="432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385F87" w:rsidRPr="00E94AA5" w:rsidTr="00AF7036">
        <w:tc>
          <w:tcPr>
            <w:tcW w:w="1038" w:type="dxa"/>
            <w:hideMark/>
          </w:tcPr>
          <w:p w:rsidR="00385F87" w:rsidRPr="00E94AA5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1.</w:t>
            </w:r>
          </w:p>
        </w:tc>
        <w:tc>
          <w:tcPr>
            <w:tcW w:w="2150" w:type="dxa"/>
            <w:gridSpan w:val="2"/>
            <w:hideMark/>
          </w:tcPr>
          <w:p w:rsidR="00385F87" w:rsidRPr="00E94AA5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 законодавства</w:t>
            </w:r>
          </w:p>
        </w:tc>
        <w:tc>
          <w:tcPr>
            <w:tcW w:w="7444" w:type="dxa"/>
          </w:tcPr>
          <w:p w:rsidR="00385F87" w:rsidRPr="00E94AA5" w:rsidRDefault="00385F87" w:rsidP="00385F87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Знання:</w:t>
            </w:r>
          </w:p>
          <w:p w:rsidR="00385F87" w:rsidRPr="00E94AA5" w:rsidRDefault="00385F87" w:rsidP="00385F87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Конституції України;</w:t>
            </w:r>
          </w:p>
          <w:p w:rsidR="00385F87" w:rsidRPr="00E94AA5" w:rsidRDefault="00385F87" w:rsidP="00385F87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Закону України «Про державну службу»,</w:t>
            </w:r>
          </w:p>
          <w:p w:rsidR="00385F87" w:rsidRPr="00E94AA5" w:rsidRDefault="00385F87" w:rsidP="00385F87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Закону України «Про запобігання корупції», Закон України «Про місцеве самоврядування в Україні», Закон України «Про столицю України - місто-герой Київ»,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Бюджетний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кодекс України,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Закон України «Про доступ до публічної інформації», Закон України «Про звернення громадян»</w:t>
            </w:r>
          </w:p>
          <w:p w:rsidR="00385F87" w:rsidRPr="00E94AA5" w:rsidRDefault="00385F87" w:rsidP="00385F87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385F87" w:rsidRPr="00E94AA5" w:rsidTr="00AF7036">
        <w:tc>
          <w:tcPr>
            <w:tcW w:w="1038" w:type="dxa"/>
          </w:tcPr>
          <w:p w:rsidR="00385F87" w:rsidRPr="00E94AA5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2.</w:t>
            </w:r>
          </w:p>
        </w:tc>
        <w:tc>
          <w:tcPr>
            <w:tcW w:w="2150" w:type="dxa"/>
            <w:gridSpan w:val="2"/>
          </w:tcPr>
          <w:p w:rsidR="00385F87" w:rsidRPr="00E94AA5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 законодавства у сфері</w:t>
            </w:r>
          </w:p>
          <w:p w:rsidR="00385F87" w:rsidRPr="00E94AA5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7444" w:type="dxa"/>
            <w:hideMark/>
          </w:tcPr>
          <w:p w:rsidR="00385F87" w:rsidRPr="00E94AA5" w:rsidRDefault="00385F87" w:rsidP="00385F87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Знання:</w:t>
            </w:r>
          </w:p>
          <w:p w:rsidR="00385F87" w:rsidRDefault="001D18A0" w:rsidP="001D1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Закон України «Про культуру», </w:t>
            </w:r>
            <w:r w:rsidR="00385F87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Положення про Департамент культури виконавчого органу Київської міської ради (Київської міської державної адміністрації), затвердженого рішенням Київської міської ради від 29 листопада 2013 року</w:t>
            </w:r>
            <w:r w:rsidR="00385F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385F87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№ 2183 (в редакції розпорядження виконавчого органу Київської міської ради (Київської міської державної адміністрації) від 01 липня 2020</w:t>
            </w:r>
            <w:r w:rsidR="00385F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року </w:t>
            </w:r>
            <w:r w:rsidR="00385F87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№ 945),</w:t>
            </w:r>
            <w:r w:rsidR="00441D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Закон України «Про місцеве самоврядування»</w:t>
            </w:r>
            <w:r w:rsidR="00385F87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інших нормативно-правових актів, що регулюють питання культури та мистецтва.</w:t>
            </w:r>
          </w:p>
          <w:p w:rsidR="00385F87" w:rsidRPr="00E94AA5" w:rsidRDefault="00385F87" w:rsidP="00CB6065">
            <w:pPr>
              <w:tabs>
                <w:tab w:val="left" w:pos="5939"/>
                <w:tab w:val="left" w:pos="6079"/>
              </w:tabs>
              <w:spacing w:after="0" w:line="240" w:lineRule="auto"/>
              <w:ind w:left="27" w:hanging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</w:tbl>
    <w:p w:rsidR="00282E4A" w:rsidRPr="00E94AA5" w:rsidRDefault="00282E4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DA6681" w:rsidRPr="00E94AA5" w:rsidRDefault="00DA668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DA6681" w:rsidRPr="00E94AA5" w:rsidRDefault="00DA668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446ACB" w:rsidRPr="00E94AA5" w:rsidRDefault="00446ACB" w:rsidP="001C66BD">
      <w:pPr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sectPr w:rsidR="00446ACB" w:rsidRPr="00E94AA5" w:rsidSect="000254D9">
      <w:pgSz w:w="12240" w:h="15840"/>
      <w:pgMar w:top="851" w:right="61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C140F68"/>
    <w:lvl w:ilvl="0">
      <w:numFmt w:val="bullet"/>
      <w:lvlText w:val="*"/>
      <w:lvlJc w:val="left"/>
    </w:lvl>
  </w:abstractNum>
  <w:abstractNum w:abstractNumId="1" w15:restartNumberingAfterBreak="0">
    <w:nsid w:val="0C6233BB"/>
    <w:multiLevelType w:val="hybridMultilevel"/>
    <w:tmpl w:val="21180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C43F9"/>
    <w:multiLevelType w:val="hybridMultilevel"/>
    <w:tmpl w:val="4EFED646"/>
    <w:lvl w:ilvl="0" w:tplc="0638FA70">
      <w:start w:val="1"/>
      <w:numFmt w:val="decimal"/>
      <w:lvlText w:val="%1."/>
      <w:lvlJc w:val="left"/>
      <w:pPr>
        <w:ind w:left="431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1" w:hanging="360"/>
      </w:pPr>
    </w:lvl>
    <w:lvl w:ilvl="2" w:tplc="0409001B" w:tentative="1">
      <w:start w:val="1"/>
      <w:numFmt w:val="lowerRoman"/>
      <w:lvlText w:val="%3."/>
      <w:lvlJc w:val="right"/>
      <w:pPr>
        <w:ind w:left="1751" w:hanging="180"/>
      </w:pPr>
    </w:lvl>
    <w:lvl w:ilvl="3" w:tplc="0409000F" w:tentative="1">
      <w:start w:val="1"/>
      <w:numFmt w:val="decimal"/>
      <w:lvlText w:val="%4."/>
      <w:lvlJc w:val="left"/>
      <w:pPr>
        <w:ind w:left="2471" w:hanging="360"/>
      </w:pPr>
    </w:lvl>
    <w:lvl w:ilvl="4" w:tplc="04090019" w:tentative="1">
      <w:start w:val="1"/>
      <w:numFmt w:val="lowerLetter"/>
      <w:lvlText w:val="%5."/>
      <w:lvlJc w:val="left"/>
      <w:pPr>
        <w:ind w:left="3191" w:hanging="360"/>
      </w:pPr>
    </w:lvl>
    <w:lvl w:ilvl="5" w:tplc="0409001B" w:tentative="1">
      <w:start w:val="1"/>
      <w:numFmt w:val="lowerRoman"/>
      <w:lvlText w:val="%6."/>
      <w:lvlJc w:val="right"/>
      <w:pPr>
        <w:ind w:left="3911" w:hanging="180"/>
      </w:pPr>
    </w:lvl>
    <w:lvl w:ilvl="6" w:tplc="0409000F" w:tentative="1">
      <w:start w:val="1"/>
      <w:numFmt w:val="decimal"/>
      <w:lvlText w:val="%7."/>
      <w:lvlJc w:val="left"/>
      <w:pPr>
        <w:ind w:left="4631" w:hanging="360"/>
      </w:pPr>
    </w:lvl>
    <w:lvl w:ilvl="7" w:tplc="04090019" w:tentative="1">
      <w:start w:val="1"/>
      <w:numFmt w:val="lowerLetter"/>
      <w:lvlText w:val="%8."/>
      <w:lvlJc w:val="left"/>
      <w:pPr>
        <w:ind w:left="5351" w:hanging="360"/>
      </w:pPr>
    </w:lvl>
    <w:lvl w:ilvl="8" w:tplc="040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3" w15:restartNumberingAfterBreak="0">
    <w:nsid w:val="24B90676"/>
    <w:multiLevelType w:val="hybridMultilevel"/>
    <w:tmpl w:val="EC3C570A"/>
    <w:lvl w:ilvl="0" w:tplc="740435A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5960D3"/>
    <w:multiLevelType w:val="hybridMultilevel"/>
    <w:tmpl w:val="D3F85C64"/>
    <w:lvl w:ilvl="0" w:tplc="0422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56" w:hanging="360"/>
      </w:pPr>
    </w:lvl>
    <w:lvl w:ilvl="2" w:tplc="0422001B" w:tentative="1">
      <w:start w:val="1"/>
      <w:numFmt w:val="lowerRoman"/>
      <w:lvlText w:val="%3."/>
      <w:lvlJc w:val="right"/>
      <w:pPr>
        <w:ind w:left="3076" w:hanging="180"/>
      </w:pPr>
    </w:lvl>
    <w:lvl w:ilvl="3" w:tplc="0422000F" w:tentative="1">
      <w:start w:val="1"/>
      <w:numFmt w:val="decimal"/>
      <w:lvlText w:val="%4."/>
      <w:lvlJc w:val="left"/>
      <w:pPr>
        <w:ind w:left="3796" w:hanging="360"/>
      </w:pPr>
    </w:lvl>
    <w:lvl w:ilvl="4" w:tplc="04220019" w:tentative="1">
      <w:start w:val="1"/>
      <w:numFmt w:val="lowerLetter"/>
      <w:lvlText w:val="%5."/>
      <w:lvlJc w:val="left"/>
      <w:pPr>
        <w:ind w:left="4516" w:hanging="360"/>
      </w:pPr>
    </w:lvl>
    <w:lvl w:ilvl="5" w:tplc="0422001B" w:tentative="1">
      <w:start w:val="1"/>
      <w:numFmt w:val="lowerRoman"/>
      <w:lvlText w:val="%6."/>
      <w:lvlJc w:val="right"/>
      <w:pPr>
        <w:ind w:left="5236" w:hanging="180"/>
      </w:pPr>
    </w:lvl>
    <w:lvl w:ilvl="6" w:tplc="0422000F" w:tentative="1">
      <w:start w:val="1"/>
      <w:numFmt w:val="decimal"/>
      <w:lvlText w:val="%7."/>
      <w:lvlJc w:val="left"/>
      <w:pPr>
        <w:ind w:left="5956" w:hanging="360"/>
      </w:pPr>
    </w:lvl>
    <w:lvl w:ilvl="7" w:tplc="04220019" w:tentative="1">
      <w:start w:val="1"/>
      <w:numFmt w:val="lowerLetter"/>
      <w:lvlText w:val="%8."/>
      <w:lvlJc w:val="left"/>
      <w:pPr>
        <w:ind w:left="6676" w:hanging="360"/>
      </w:pPr>
    </w:lvl>
    <w:lvl w:ilvl="8" w:tplc="042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3295353C"/>
    <w:multiLevelType w:val="hybridMultilevel"/>
    <w:tmpl w:val="22AA163A"/>
    <w:lvl w:ilvl="0" w:tplc="C3B47C40">
      <w:start w:val="1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6" w15:restartNumberingAfterBreak="0">
    <w:nsid w:val="37BF55E6"/>
    <w:multiLevelType w:val="hybridMultilevel"/>
    <w:tmpl w:val="87F8C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B75F2"/>
    <w:multiLevelType w:val="hybridMultilevel"/>
    <w:tmpl w:val="FFA4CC82"/>
    <w:lvl w:ilvl="0" w:tplc="740435A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3B105E3A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40AEC"/>
    <w:multiLevelType w:val="hybridMultilevel"/>
    <w:tmpl w:val="2B12DAC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C6F33"/>
    <w:multiLevelType w:val="hybridMultilevel"/>
    <w:tmpl w:val="7896A4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E60FEE"/>
    <w:multiLevelType w:val="hybridMultilevel"/>
    <w:tmpl w:val="E25ECE1C"/>
    <w:lvl w:ilvl="0" w:tplc="558679D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 w15:restartNumberingAfterBreak="0">
    <w:nsid w:val="67004159"/>
    <w:multiLevelType w:val="hybridMultilevel"/>
    <w:tmpl w:val="69DCB4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C527DF"/>
    <w:multiLevelType w:val="hybridMultilevel"/>
    <w:tmpl w:val="4BEE5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9"/>
  </w:num>
  <w:num w:numId="10">
    <w:abstractNumId w:val="4"/>
  </w:num>
  <w:num w:numId="11">
    <w:abstractNumId w:val="11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45"/>
    <w:rsid w:val="0002262D"/>
    <w:rsid w:val="000254D9"/>
    <w:rsid w:val="00025593"/>
    <w:rsid w:val="0002715C"/>
    <w:rsid w:val="00035D51"/>
    <w:rsid w:val="00042F19"/>
    <w:rsid w:val="00071CFF"/>
    <w:rsid w:val="000804D7"/>
    <w:rsid w:val="000C0832"/>
    <w:rsid w:val="0012232D"/>
    <w:rsid w:val="00150566"/>
    <w:rsid w:val="001708B3"/>
    <w:rsid w:val="001B0A9A"/>
    <w:rsid w:val="001C66BD"/>
    <w:rsid w:val="001D18A0"/>
    <w:rsid w:val="001D3F9C"/>
    <w:rsid w:val="001F1E8D"/>
    <w:rsid w:val="00222F38"/>
    <w:rsid w:val="00231A73"/>
    <w:rsid w:val="00240770"/>
    <w:rsid w:val="00282E4A"/>
    <w:rsid w:val="002A7126"/>
    <w:rsid w:val="002C1ED9"/>
    <w:rsid w:val="002C7D25"/>
    <w:rsid w:val="002D0C83"/>
    <w:rsid w:val="00306BAA"/>
    <w:rsid w:val="00313AF1"/>
    <w:rsid w:val="00316EEF"/>
    <w:rsid w:val="003768CF"/>
    <w:rsid w:val="00385F87"/>
    <w:rsid w:val="00387106"/>
    <w:rsid w:val="003923AA"/>
    <w:rsid w:val="00394464"/>
    <w:rsid w:val="003A5B25"/>
    <w:rsid w:val="0042104A"/>
    <w:rsid w:val="00422635"/>
    <w:rsid w:val="004364FD"/>
    <w:rsid w:val="00441D2C"/>
    <w:rsid w:val="00446ACB"/>
    <w:rsid w:val="00460F57"/>
    <w:rsid w:val="004658F7"/>
    <w:rsid w:val="004919C5"/>
    <w:rsid w:val="0049493F"/>
    <w:rsid w:val="004B04F7"/>
    <w:rsid w:val="004B6B61"/>
    <w:rsid w:val="004B71D8"/>
    <w:rsid w:val="004D650C"/>
    <w:rsid w:val="00511D43"/>
    <w:rsid w:val="005C180D"/>
    <w:rsid w:val="005C49B9"/>
    <w:rsid w:val="005C6D6C"/>
    <w:rsid w:val="00606A2F"/>
    <w:rsid w:val="006074F6"/>
    <w:rsid w:val="00616CA0"/>
    <w:rsid w:val="00635DF3"/>
    <w:rsid w:val="00650EAB"/>
    <w:rsid w:val="006643CE"/>
    <w:rsid w:val="00666103"/>
    <w:rsid w:val="006C4FE5"/>
    <w:rsid w:val="006E188B"/>
    <w:rsid w:val="006F5025"/>
    <w:rsid w:val="00700395"/>
    <w:rsid w:val="00702814"/>
    <w:rsid w:val="007635CB"/>
    <w:rsid w:val="007720A0"/>
    <w:rsid w:val="00797803"/>
    <w:rsid w:val="007F5311"/>
    <w:rsid w:val="008244A3"/>
    <w:rsid w:val="008279E5"/>
    <w:rsid w:val="00835B91"/>
    <w:rsid w:val="00863379"/>
    <w:rsid w:val="00874CF0"/>
    <w:rsid w:val="00880BE6"/>
    <w:rsid w:val="00886629"/>
    <w:rsid w:val="00887BD3"/>
    <w:rsid w:val="008B0890"/>
    <w:rsid w:val="008B779C"/>
    <w:rsid w:val="008D251F"/>
    <w:rsid w:val="00907AB4"/>
    <w:rsid w:val="0091320A"/>
    <w:rsid w:val="009A06B2"/>
    <w:rsid w:val="009C463D"/>
    <w:rsid w:val="009E07D4"/>
    <w:rsid w:val="009F6745"/>
    <w:rsid w:val="00A107B8"/>
    <w:rsid w:val="00A21038"/>
    <w:rsid w:val="00A42F78"/>
    <w:rsid w:val="00A85ED6"/>
    <w:rsid w:val="00A90621"/>
    <w:rsid w:val="00AF42E7"/>
    <w:rsid w:val="00AF6ACC"/>
    <w:rsid w:val="00AF7036"/>
    <w:rsid w:val="00B13B47"/>
    <w:rsid w:val="00B21B56"/>
    <w:rsid w:val="00B42D44"/>
    <w:rsid w:val="00B51002"/>
    <w:rsid w:val="00B90F8A"/>
    <w:rsid w:val="00B9588E"/>
    <w:rsid w:val="00BF47F4"/>
    <w:rsid w:val="00BF593F"/>
    <w:rsid w:val="00C057A8"/>
    <w:rsid w:val="00C105C0"/>
    <w:rsid w:val="00C22724"/>
    <w:rsid w:val="00C47FA3"/>
    <w:rsid w:val="00C52BBE"/>
    <w:rsid w:val="00C77B1F"/>
    <w:rsid w:val="00CA6CBD"/>
    <w:rsid w:val="00CB6065"/>
    <w:rsid w:val="00CE1A5C"/>
    <w:rsid w:val="00CE4E99"/>
    <w:rsid w:val="00D17A1C"/>
    <w:rsid w:val="00D30988"/>
    <w:rsid w:val="00D77248"/>
    <w:rsid w:val="00D85D36"/>
    <w:rsid w:val="00D91290"/>
    <w:rsid w:val="00DA6681"/>
    <w:rsid w:val="00DB244D"/>
    <w:rsid w:val="00DB3B6F"/>
    <w:rsid w:val="00DE06EE"/>
    <w:rsid w:val="00DF2D6D"/>
    <w:rsid w:val="00E60E01"/>
    <w:rsid w:val="00E94AA5"/>
    <w:rsid w:val="00E95A89"/>
    <w:rsid w:val="00EB5934"/>
    <w:rsid w:val="00ED511F"/>
    <w:rsid w:val="00F42AF9"/>
    <w:rsid w:val="00F43DA9"/>
    <w:rsid w:val="00F461B8"/>
    <w:rsid w:val="00FB7DBF"/>
    <w:rsid w:val="00FC4CAA"/>
    <w:rsid w:val="00FD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FA6B1A-EE37-45FC-8E59-90BEA391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CA0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CA0"/>
    <w:pPr>
      <w:ind w:left="720"/>
      <w:contextualSpacing/>
    </w:pPr>
  </w:style>
  <w:style w:type="paragraph" w:customStyle="1" w:styleId="1">
    <w:name w:val="Обычный (веб)1"/>
    <w:basedOn w:val="a"/>
    <w:rsid w:val="00616CA0"/>
    <w:pPr>
      <w:suppressAutoHyphens/>
      <w:overflowPunct w:val="0"/>
      <w:spacing w:after="280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table" w:styleId="a4">
    <w:name w:val="Table Grid"/>
    <w:basedOn w:val="a1"/>
    <w:uiPriority w:val="59"/>
    <w:rsid w:val="00616CA0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61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5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F5025"/>
    <w:rPr>
      <w:rFonts w:ascii="Segoe UI" w:hAnsi="Segoe UI" w:cs="Segoe UI"/>
      <w:sz w:val="18"/>
      <w:szCs w:val="18"/>
      <w:lang w:val="ru-RU"/>
    </w:rPr>
  </w:style>
  <w:style w:type="character" w:styleId="a8">
    <w:name w:val="Hyperlink"/>
    <w:unhideWhenUsed/>
    <w:rsid w:val="00DE06EE"/>
    <w:rPr>
      <w:color w:val="0000FF"/>
      <w:u w:val="single"/>
    </w:rPr>
  </w:style>
  <w:style w:type="paragraph" w:customStyle="1" w:styleId="rvps2">
    <w:name w:val="rvps2"/>
    <w:basedOn w:val="a"/>
    <w:uiPriority w:val="99"/>
    <w:rsid w:val="00392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areer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366E5-270F-4210-9B2B-8FD43E2FA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5933</Words>
  <Characters>3383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Богданова Наталія Анатоліївна</dc:creator>
  <cp:lastModifiedBy>Маршалковська Ольга Русланівна</cp:lastModifiedBy>
  <cp:revision>17</cp:revision>
  <cp:lastPrinted>2021-12-22T14:15:00Z</cp:lastPrinted>
  <dcterms:created xsi:type="dcterms:W3CDTF">2021-10-12T08:03:00Z</dcterms:created>
  <dcterms:modified xsi:type="dcterms:W3CDTF">2021-12-22T14:54:00Z</dcterms:modified>
</cp:coreProperties>
</file>